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bookmarkStart w:id="20" w:name="_GoBack"/>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11</w:t>
      </w:r>
      <w:r>
        <w:rPr>
          <w:b/>
          <w:i/>
          <w:sz w:val="28"/>
        </w:rPr>
        <w:tab/>
      </w:r>
      <w:r>
        <w:rPr>
          <w:b/>
          <w:i w:val="0"/>
          <w:iCs/>
          <w:sz w:val="28"/>
        </w:rPr>
        <w:t>R1-22</w:t>
      </w:r>
      <w:r>
        <w:rPr>
          <w:rFonts w:hint="eastAsia" w:eastAsia="宋体"/>
          <w:b/>
          <w:i w:val="0"/>
          <w:iCs/>
          <w:sz w:val="28"/>
          <w:lang w:val="en-US" w:eastAsia="zh-CN"/>
        </w:rPr>
        <w:t>11278</w:t>
      </w:r>
    </w:p>
    <w:p>
      <w:pPr>
        <w:pStyle w:val="118"/>
        <w:tabs>
          <w:tab w:val="right" w:pos="9639"/>
        </w:tabs>
        <w:spacing w:after="0"/>
        <w:outlineLvl w:val="9"/>
        <w:rPr>
          <w:rFonts w:cs="Times New Roman"/>
          <w:b/>
          <w:sz w:val="24"/>
          <w:lang w:eastAsia="ja-JP"/>
        </w:rPr>
      </w:pPr>
      <w:r>
        <w:rPr>
          <w:rFonts w:hint="default" w:cs="Times New Roman"/>
          <w:b/>
          <w:sz w:val="24"/>
          <w:lang w:val="en-US" w:eastAsia="ja-JP"/>
        </w:rPr>
        <w:t>Toulouse</w:t>
      </w:r>
      <w:r>
        <w:rPr>
          <w:rFonts w:cs="Times New Roman"/>
          <w:b/>
          <w:sz w:val="24"/>
          <w:lang w:val="en-US" w:eastAsia="ja-JP"/>
        </w:rPr>
        <w:t>,</w:t>
      </w:r>
      <w:r>
        <w:rPr>
          <w:rFonts w:hint="default" w:cs="Times New Roman"/>
          <w:b/>
          <w:sz w:val="24"/>
          <w:lang w:val="en-US" w:eastAsia="ja-JP"/>
        </w:rPr>
        <w:t xml:space="preserve"> France,</w:t>
      </w:r>
      <w:r>
        <w:rPr>
          <w:rFonts w:cs="Times New Roman"/>
          <w:b/>
          <w:sz w:val="24"/>
          <w:lang w:val="en-US" w:eastAsia="ja-JP"/>
        </w:rPr>
        <w:t xml:space="preserve"> </w:t>
      </w:r>
      <w:r>
        <w:rPr>
          <w:rFonts w:hint="eastAsia" w:eastAsia="宋体" w:cs="Times New Roman"/>
          <w:b/>
          <w:sz w:val="24"/>
          <w:lang w:val="en-US" w:eastAsia="zh-CN"/>
        </w:rPr>
        <w:t>November</w:t>
      </w:r>
      <w:r>
        <w:rPr>
          <w:rFonts w:cs="Times New Roman"/>
          <w:b/>
          <w:sz w:val="24"/>
          <w:lang w:val="en-US" w:eastAsia="ja-JP"/>
        </w:rPr>
        <w:t xml:space="preserve"> </w:t>
      </w:r>
      <w:r>
        <w:rPr>
          <w:rFonts w:hint="eastAsia" w:eastAsia="宋体" w:cs="Times New Roman"/>
          <w:b/>
          <w:sz w:val="24"/>
          <w:lang w:val="en-US" w:eastAsia="zh-CN"/>
        </w:rPr>
        <w:t>14</w:t>
      </w:r>
      <w:r>
        <w:rPr>
          <w:rFonts w:hint="default" w:cs="Times New Roman"/>
          <w:b/>
          <w:sz w:val="24"/>
          <w:vertAlign w:val="superscript"/>
          <w:lang w:val="en-US" w:eastAsia="ja-JP"/>
        </w:rPr>
        <w:t>th</w:t>
      </w:r>
      <w:r>
        <w:rPr>
          <w:rFonts w:hint="default" w:cs="Times New Roman"/>
          <w:b/>
          <w:sz w:val="24"/>
          <w:lang w:val="en-US" w:eastAsia="ja-JP"/>
        </w:rPr>
        <w:t xml:space="preserve"> - </w:t>
      </w:r>
      <w:r>
        <w:rPr>
          <w:rFonts w:hint="eastAsia" w:eastAsia="宋体" w:cs="Times New Roman"/>
          <w:b/>
          <w:sz w:val="24"/>
          <w:lang w:val="en-US" w:eastAsia="zh-CN"/>
        </w:rPr>
        <w:t>18</w:t>
      </w:r>
      <w:r>
        <w:rPr>
          <w:rFonts w:hint="default" w:cs="Times New Roman"/>
          <w:b/>
          <w:sz w:val="24"/>
          <w:vertAlign w:val="superscript"/>
          <w:lang w:val="en-US" w:eastAsia="ja-JP"/>
        </w:rPr>
        <w:t>th</w:t>
      </w:r>
      <w:r>
        <w:rPr>
          <w:rFonts w:cs="Times New Roman"/>
          <w:b/>
          <w:sz w:val="24"/>
          <w:lang w:val="en-US" w:eastAsia="ja-JP"/>
        </w:rPr>
        <w:t>, 2022</w:t>
      </w:r>
    </w:p>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rPr>
                <w:b/>
                <w:sz w:val="28"/>
              </w:rPr>
              <w:t>38.21</w:t>
            </w:r>
            <w:r>
              <w:rPr>
                <w:rFonts w:hint="eastAsia" w:eastAsia="宋体"/>
                <w:b/>
                <w:sz w:val="28"/>
                <w:lang w:val="en-US" w:eastAsia="zh-CN"/>
              </w:rPr>
              <w:t>2</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Editorial correction on UE initiated semi-static channel access parameters in TS 38.212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fldChar w:fldCharType="begin"/>
            </w:r>
            <w:r>
              <w:instrText xml:space="preserve">DOCPROPERTY  RelatedWis  \* MERGEFORMAT</w:instrText>
            </w:r>
            <w:r>
              <w:fldChar w:fldCharType="separate"/>
            </w:r>
            <w:r>
              <w:t>NR_IIOT_URLLC_enh-Core</w:t>
            </w:r>
            <w:r>
              <w:fldChar w:fldCharType="end"/>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w:t>
            </w:r>
            <w:r>
              <w:rPr>
                <w:rFonts w:hint="eastAsia" w:eastAsia="宋体"/>
                <w:lang w:val="en-US" w:eastAsia="zh-CN"/>
              </w:rPr>
              <w:t>11-14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pStyle w:val="290"/>
              <w:widowControl w:val="0"/>
              <w:tabs>
                <w:tab w:val="clear" w:pos="1440"/>
              </w:tabs>
              <w:ind w:left="0" w:leftChars="0" w:firstLine="0" w:firstLineChars="0"/>
              <w:rPr>
                <w:rFonts w:hint="default" w:ascii="Times New Roman" w:hAnsi="Times New Roman" w:cs="Times New Roman"/>
                <w:i/>
                <w:iCs/>
                <w:sz w:val="20"/>
                <w:szCs w:val="20"/>
              </w:rPr>
            </w:pPr>
            <w:r>
              <w:rPr>
                <w:rFonts w:hint="eastAsia"/>
                <w:i w:val="0"/>
                <w:iCs w:val="0"/>
                <w:strike w:val="0"/>
                <w:dstrike w:val="0"/>
                <w:color w:val="auto"/>
                <w:sz w:val="20"/>
                <w:szCs w:val="20"/>
                <w:highlight w:val="none"/>
                <w:lang w:val="en-US" w:eastAsia="zh-CN"/>
              </w:rPr>
              <w:t>I</w:t>
            </w:r>
            <w:r>
              <w:rPr>
                <w:rFonts w:hint="eastAsia" w:ascii="Times New Roman" w:hAnsi="Times New Roman" w:eastAsia="宋体" w:cs="Times New Roman"/>
                <w:sz w:val="20"/>
                <w:szCs w:val="20"/>
                <w:lang w:val="en-US" w:eastAsia="zh-CN"/>
              </w:rPr>
              <w:t xml:space="preserve">n section </w:t>
            </w:r>
            <w:r>
              <w:rPr>
                <w:rFonts w:hint="eastAsia" w:eastAsia="宋体" w:cs="Times New Roman"/>
                <w:sz w:val="20"/>
                <w:szCs w:val="20"/>
                <w:lang w:val="en-US" w:eastAsia="zh-CN"/>
              </w:rPr>
              <w:t>6.3.2.1.3 and 7.3.1.1.1</w:t>
            </w:r>
            <w:r>
              <w:rPr>
                <w:rFonts w:hint="eastAsia"/>
                <w:i w:val="0"/>
                <w:iCs w:val="0"/>
                <w:strike w:val="0"/>
                <w:dstrike w:val="0"/>
                <w:color w:val="auto"/>
                <w:sz w:val="20"/>
                <w:szCs w:val="20"/>
                <w:highlight w:val="none"/>
                <w:lang w:val="en-US" w:eastAsia="zh-CN"/>
              </w:rPr>
              <w:t>, the parameter name</w:t>
            </w:r>
            <w:r>
              <w:rPr>
                <w:rFonts w:hint="eastAsia"/>
                <w:i/>
                <w:iCs/>
                <w:strike w:val="0"/>
                <w:dstrike w:val="0"/>
                <w:color w:val="auto"/>
                <w:sz w:val="20"/>
                <w:szCs w:val="20"/>
                <w:highlight w:val="none"/>
                <w:lang w:val="en-US" w:eastAsia="zh-CN"/>
              </w:rPr>
              <w:t xml:space="preserve"> </w:t>
            </w:r>
            <w:r>
              <w:rPr>
                <w:i/>
                <w:iCs/>
                <w:strike w:val="0"/>
                <w:dstrike w:val="0"/>
                <w:color w:val="auto"/>
                <w:sz w:val="20"/>
                <w:szCs w:val="20"/>
                <w:highlight w:val="none"/>
                <w:lang w:eastAsia="zh-CN"/>
              </w:rPr>
              <w:t>ue-SemiStaticChannelAccessConfig</w:t>
            </w:r>
            <w:r>
              <w:rPr>
                <w:rFonts w:hint="eastAsia"/>
                <w:i/>
                <w:iCs/>
                <w:strike w:val="0"/>
                <w:dstrike w:val="0"/>
                <w:color w:val="auto"/>
                <w:sz w:val="20"/>
                <w:szCs w:val="20"/>
                <w:highlight w:val="none"/>
                <w:lang w:val="en-US" w:eastAsia="zh-CN"/>
              </w:rPr>
              <w:t xml:space="preserve"> </w:t>
            </w:r>
            <w:r>
              <w:rPr>
                <w:rFonts w:hint="eastAsia" w:eastAsia="宋体" w:cs="Times New Roman"/>
                <w:sz w:val="20"/>
                <w:szCs w:val="20"/>
                <w:lang w:val="en-US" w:eastAsia="zh-CN"/>
              </w:rPr>
              <w:t xml:space="preserve">is not aligned with the name in TS 38.331 which should be </w:t>
            </w:r>
            <w:r>
              <w:rPr>
                <w:rFonts w:hint="default" w:ascii="Times New Roman" w:hAnsi="Times New Roman" w:cs="Times New Roman"/>
                <w:i/>
                <w:iCs/>
                <w:sz w:val="20"/>
                <w:szCs w:val="20"/>
              </w:rPr>
              <w:t>semiStaticChannelAccessConfigUE</w:t>
            </w:r>
          </w:p>
          <w:p>
            <w:pPr>
              <w:pStyle w:val="101"/>
            </w:pPr>
            <w:r>
              <w:t xml:space="preserve">SemiStaticChannelAccessConfigUE-r17 ::=    </w:t>
            </w:r>
            <w:r>
              <w:rPr>
                <w:color w:val="993366"/>
              </w:rPr>
              <w:t>SEQUENCE</w:t>
            </w:r>
            <w:r>
              <w:t xml:space="preserve"> {</w:t>
            </w:r>
          </w:p>
          <w:p>
            <w:pPr>
              <w:pStyle w:val="101"/>
            </w:pPr>
            <w:r>
              <w:t xml:space="preserve">    periodUE-r17                               </w:t>
            </w:r>
            <w:r>
              <w:rPr>
                <w:color w:val="993366"/>
              </w:rPr>
              <w:t>ENUMERATED</w:t>
            </w:r>
            <w:r>
              <w:t xml:space="preserve"> {ms1, ms2, ms2dot5, ms4, ms5, ms10, spare2, spare1},</w:t>
            </w:r>
          </w:p>
          <w:p>
            <w:pPr>
              <w:pStyle w:val="101"/>
            </w:pPr>
            <w:r>
              <w:t xml:space="preserve">    offsetUE-r17                               </w:t>
            </w:r>
            <w:r>
              <w:rPr>
                <w:color w:val="993366"/>
              </w:rPr>
              <w:t>INTEGER</w:t>
            </w:r>
            <w:r>
              <w:t xml:space="preserve"> (0..559)</w:t>
            </w:r>
          </w:p>
          <w:p>
            <w:pPr>
              <w:pStyle w:val="101"/>
            </w:pPr>
            <w:r>
              <w:t>}</w:t>
            </w:r>
          </w:p>
          <w:p>
            <w:pPr>
              <w:pStyle w:val="290"/>
              <w:widowControl w:val="0"/>
              <w:tabs>
                <w:tab w:val="clear" w:pos="1440"/>
              </w:tabs>
              <w:ind w:left="0" w:leftChars="0" w:firstLine="0" w:firstLineChars="0"/>
              <w:rPr>
                <w:rFonts w:hint="eastAsia" w:eastAsia="宋体" w:cs="Times New Roman"/>
                <w:sz w:val="20"/>
                <w:szCs w:val="20"/>
                <w:lang w:val="en-US" w:eastAsia="zh-CN"/>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pStyle w:val="118"/>
              <w:spacing w:after="0"/>
              <w:rPr>
                <w:rFonts w:hint="eastAsia" w:ascii="Times New Roman" w:hAnsi="Times New Roman" w:eastAsia="宋体" w:cs="Times New Roman"/>
                <w:sz w:val="20"/>
                <w:szCs w:val="20"/>
                <w:lang w:val="en-US" w:eastAsia="zh-CN"/>
              </w:rPr>
            </w:pPr>
            <w:r>
              <w:rPr>
                <w:rFonts w:hint="default" w:ascii="Times New Roman" w:hAnsi="Times New Roman" w:cs="Times New Roman"/>
                <w:i/>
                <w:iCs/>
                <w:strike w:val="0"/>
                <w:dstrike w:val="0"/>
                <w:color w:val="auto"/>
                <w:highlight w:val="none"/>
                <w:lang w:eastAsia="zh-CN"/>
              </w:rPr>
              <w:t>ue-SemiStaticChannelAccessConfig</w:t>
            </w:r>
            <w:r>
              <w:rPr>
                <w:rFonts w:hint="eastAsia"/>
                <w:i/>
                <w:iCs/>
                <w:strike w:val="0"/>
                <w:dstrike w:val="0"/>
                <w:color w:val="auto"/>
                <w:highlight w:val="none"/>
                <w:lang w:val="en-US" w:eastAsia="zh-CN"/>
              </w:rPr>
              <w:t xml:space="preserve"> </w:t>
            </w:r>
            <w:r>
              <w:rPr>
                <w:rFonts w:hint="eastAsia" w:ascii="Times New Roman" w:hAnsi="Times New Roman" w:eastAsia="宋体" w:cs="Times New Roman"/>
                <w:i w:val="0"/>
                <w:iCs/>
                <w:sz w:val="20"/>
                <w:szCs w:val="20"/>
                <w:highlight w:val="none"/>
                <w:lang w:val="en-US" w:eastAsia="zh-CN"/>
              </w:rPr>
              <w:t>i</w:t>
            </w:r>
            <w:r>
              <w:rPr>
                <w:rFonts w:hint="eastAsia" w:ascii="Times New Roman" w:hAnsi="Times New Roman" w:eastAsia="宋体" w:cs="Times New Roman"/>
                <w:sz w:val="20"/>
                <w:szCs w:val="20"/>
                <w:lang w:val="en-US" w:eastAsia="zh-CN"/>
              </w:rPr>
              <w:t xml:space="preserve">n section </w:t>
            </w:r>
            <w:r>
              <w:rPr>
                <w:rFonts w:hint="default" w:ascii="Times New Roman" w:hAnsi="Times New Roman" w:eastAsia="宋体" w:cs="Times New Roman"/>
                <w:sz w:val="20"/>
                <w:szCs w:val="20"/>
                <w:lang w:val="en-US" w:eastAsia="zh-CN"/>
              </w:rPr>
              <w:t xml:space="preserve">6.3.2.1.3/7.3.1.1.1 </w:t>
            </w:r>
            <w:r>
              <w:rPr>
                <w:rFonts w:hint="eastAsia" w:ascii="Times New Roman" w:hAnsi="Times New Roman" w:eastAsia="宋体" w:cs="Times New Roman"/>
                <w:sz w:val="20"/>
                <w:szCs w:val="20"/>
                <w:lang w:val="en-US" w:eastAsia="zh-CN"/>
              </w:rPr>
              <w:t xml:space="preserve">is changed to </w:t>
            </w:r>
            <w:r>
              <w:rPr>
                <w:rFonts w:hint="default" w:ascii="Times New Roman" w:hAnsi="Times New Roman" w:cs="Times New Roman"/>
                <w:i/>
                <w:iCs/>
              </w:rPr>
              <w:t>semiStaticChannelAccessConfigUE</w:t>
            </w:r>
            <w:r>
              <w:rPr>
                <w:rFonts w:hint="eastAsia" w:ascii="Times New Roman" w:hAnsi="Times New Roman" w:eastAsia="宋体" w:cs="Times New Roman"/>
                <w:i w:val="0"/>
                <w:iCs/>
                <w:sz w:val="20"/>
                <w:szCs w:val="20"/>
                <w:highlight w:val="none"/>
                <w:lang w:val="en-US" w:eastAsia="zh-CN"/>
              </w:rPr>
              <w:t>.</w:t>
            </w:r>
          </w:p>
          <w:p>
            <w:pPr>
              <w:pStyle w:val="118"/>
              <w:spacing w:after="0"/>
              <w:ind w:left="100"/>
              <w:rPr>
                <w:lang w:eastAsia="ko-KR"/>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ascii="Times New Roman" w:hAnsi="Times New Roman" w:eastAsia="宋体" w:cs="Times New Roman"/>
                <w:i w:val="0"/>
                <w:iCs w:val="0"/>
                <w:sz w:val="20"/>
                <w:szCs w:val="20"/>
                <w:lang w:val="en-US" w:eastAsia="zh-CN"/>
              </w:rPr>
              <w:t>Parameter name misalignment</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rPr>
                <w:rFonts w:hint="default" w:eastAsia="宋体"/>
                <w:lang w:val="en-US" w:eastAsia="zh-CN"/>
              </w:rPr>
            </w:pPr>
            <w:r>
              <w:rPr>
                <w:rFonts w:hint="default" w:ascii="Times New Roman" w:hAnsi="Times New Roman" w:eastAsia="宋体" w:cs="Times New Roman"/>
                <w:lang w:val="en-US" w:eastAsia="zh-CN"/>
              </w:rPr>
              <w:t>6.3.2.1.3, 7.3.1.1.1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bookmarkEnd w:id="20"/>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both"/>
        <w:rPr>
          <w:b/>
          <w:bCs/>
          <w:color w:val="FF0000"/>
          <w:lang w:eastAsia="zh-CN"/>
        </w:rPr>
      </w:pPr>
    </w:p>
    <w:p>
      <w:pPr>
        <w:pBdr>
          <w:bottom w:val="double" w:color="auto" w:sz="6" w:space="1"/>
        </w:pBdr>
      </w:pPr>
    </w:p>
    <w:p>
      <w:pPr>
        <w:widowControl w:val="0"/>
        <w:spacing w:line="240" w:lineRule="auto"/>
        <w:jc w:val="center"/>
      </w:pPr>
      <w:r>
        <w:rPr>
          <w:b/>
          <w:bCs/>
          <w:color w:val="FF0000"/>
          <w:lang w:eastAsia="zh-CN"/>
        </w:rPr>
        <w:t>&lt; Unchanged text omitted &gt;</w:t>
      </w:r>
    </w:p>
    <w:p>
      <w:pPr>
        <w:pStyle w:val="6"/>
        <w:rPr>
          <w:lang w:eastAsia="zh-CN"/>
        </w:rPr>
      </w:pPr>
      <w:bookmarkStart w:id="1" w:name="_Toc36046312"/>
      <w:bookmarkStart w:id="2" w:name="_Toc51852402"/>
      <w:bookmarkStart w:id="3" w:name="_Toc29326566"/>
      <w:bookmarkStart w:id="4" w:name="_Toc45209229"/>
      <w:bookmarkStart w:id="5" w:name="_Toc29327716"/>
      <w:bookmarkStart w:id="6" w:name="_Toc36045906"/>
      <w:bookmarkStart w:id="7" w:name="_Toc114127178"/>
      <w:bookmarkStart w:id="8" w:name="_Toc36046166"/>
      <w:bookmarkStart w:id="9" w:name="_Hlk498078682"/>
      <w:r>
        <w:rPr>
          <w:rFonts w:hint="eastAsia"/>
          <w:lang w:eastAsia="zh-CN"/>
        </w:rPr>
        <w:t>6.3.2.1.3</w:t>
      </w:r>
      <w:r>
        <w:rPr>
          <w:rFonts w:hint="eastAsia"/>
          <w:lang w:eastAsia="zh-CN"/>
        </w:rPr>
        <w:tab/>
      </w:r>
      <w:r>
        <w:rPr>
          <w:lang w:eastAsia="zh-CN"/>
        </w:rPr>
        <w:t>CG-UCI</w:t>
      </w:r>
      <w:bookmarkEnd w:id="1"/>
      <w:bookmarkEnd w:id="2"/>
      <w:bookmarkEnd w:id="3"/>
      <w:bookmarkEnd w:id="4"/>
      <w:bookmarkEnd w:id="5"/>
      <w:bookmarkEnd w:id="6"/>
      <w:bookmarkEnd w:id="7"/>
      <w:bookmarkEnd w:id="8"/>
    </w:p>
    <w:p>
      <w:pPr>
        <w:rPr>
          <w:lang w:eastAsia="zh-CN"/>
        </w:rPr>
      </w:pPr>
      <w:r>
        <w:rPr>
          <w:rFonts w:hint="eastAsia"/>
          <w:lang w:eastAsia="zh-CN"/>
        </w:rPr>
        <w:t xml:space="preserve">For </w:t>
      </w:r>
      <w:r>
        <w:rPr>
          <w:lang w:eastAsia="zh-CN"/>
        </w:rPr>
        <w:t>CG-UCI</w:t>
      </w:r>
      <w:r>
        <w:rPr>
          <w:rFonts w:hint="eastAsia"/>
          <w:lang w:eastAsia="zh-CN"/>
        </w:rPr>
        <w:t xml:space="preserve"> bits transmitted on a </w:t>
      </w:r>
      <w:r>
        <w:rPr>
          <w:lang w:eastAsia="zh-CN"/>
        </w:rPr>
        <w:t xml:space="preserve">CG </w:t>
      </w:r>
      <w:r>
        <w:rPr>
          <w:rFonts w:hint="eastAsia"/>
          <w:lang w:eastAsia="zh-CN"/>
        </w:rPr>
        <w:t>PUSCH</w:t>
      </w:r>
      <w:r>
        <w:rPr>
          <w:lang w:eastAsia="zh-CN"/>
        </w:rPr>
        <w:t xml:space="preserve"> when the higher layer parameter </w:t>
      </w:r>
      <w:r>
        <w:rPr>
          <w:i/>
          <w:iCs/>
          <w:lang w:val="en-US" w:eastAsia="zh-CN"/>
        </w:rPr>
        <w:t>cg-RetransmissionTimer</w:t>
      </w:r>
      <w:r>
        <w:rPr>
          <w:lang w:val="en-US" w:eastAsia="zh-CN"/>
        </w:rPr>
        <w:t xml:space="preserve"> is configured</w:t>
      </w:r>
      <w:r>
        <w:rPr>
          <w:rFonts w:hint="eastAsia"/>
          <w:lang w:eastAsia="zh-CN"/>
        </w:rPr>
        <w:t xml:space="preserve">, the </w:t>
      </w:r>
      <w:r>
        <w:rPr>
          <w:lang w:eastAsia="zh-CN"/>
        </w:rPr>
        <w:t>CG-</w:t>
      </w:r>
      <w:r>
        <w:rPr>
          <w:rFonts w:hint="eastAsia"/>
          <w:lang w:eastAsia="zh-CN"/>
        </w:rPr>
        <w:t xml:space="preserve">UCI bit sequence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A−1</m:t>
            </m:r>
            <m:ctrlPr>
              <w:rPr>
                <w:rFonts w:ascii="Cambria Math" w:hAnsi="Cambria Math"/>
                <w:i/>
              </w:rPr>
            </m:ctrlPr>
          </m:sub>
        </m:sSub>
        <m:r>
          <m:rPr/>
          <w:rPr>
            <w:rFonts w:ascii="Cambria Math" w:hAnsi="Cambria Math"/>
          </w:rPr>
          <m:t xml:space="preserve"> </m:t>
        </m:r>
      </m:oMath>
      <w:r>
        <w:rPr>
          <w:rFonts w:hint="eastAsia"/>
          <w:lang w:eastAsia="zh-CN"/>
        </w:rPr>
        <w:t xml:space="preserve"> is determined as follows:</w:t>
      </w:r>
    </w:p>
    <w:p>
      <w:pPr>
        <w:pStyle w:val="112"/>
        <w:rPr>
          <w:rFonts w:eastAsiaTheme="minorEastAsia"/>
        </w:rPr>
      </w:pPr>
      <w:r>
        <w:rPr>
          <w:lang w:eastAsia="zh-CN"/>
        </w:rPr>
        <w:t>-</w:t>
      </w:r>
      <w:r>
        <w:rPr>
          <w:lang w:eastAsia="zh-CN"/>
        </w:rPr>
        <w:tab/>
      </w:r>
      <w:r>
        <w:rPr>
          <w:lang w:eastAsia="zh-CN"/>
        </w:rPr>
        <w:t xml:space="preserve">set </w:t>
      </w:r>
      <m:oMath>
        <m:sSub>
          <m:sSubPr>
            <m:ctrlPr>
              <w:rPr>
                <w:rFonts w:ascii="Cambria Math" w:hAnsi="Cambria Math"/>
                <w:lang w:eastAsia="zh-CN"/>
              </w:rPr>
            </m:ctrlPr>
          </m:sSubPr>
          <m:e>
            <m:r>
              <m:rPr/>
              <w:rPr>
                <w:rFonts w:ascii="Cambria Math" w:hAnsi="Cambria Math"/>
                <w:lang w:eastAsia="zh-CN"/>
              </w:rPr>
              <m:t>a</m:t>
            </m:r>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bSup>
      </m:oMath>
      <w:r>
        <w:rPr>
          <w:rFonts w:hint="eastAsia"/>
          <w:lang w:eastAsia="zh-CN"/>
        </w:rPr>
        <w:t xml:space="preserve">  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oMath>
      <w:r>
        <w:rPr>
          <w:rFonts w:hint="eastAsia"/>
          <w:lang w:eastAsia="zh-CN"/>
        </w:rPr>
        <w:t xml:space="preserve"> and </w:t>
      </w:r>
      <m:oMath>
        <m:r>
          <m:rP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oMath>
      <w:r>
        <w:rPr>
          <w:rFonts w:hint="eastAsia"/>
          <w:lang w:eastAsia="zh-CN"/>
        </w:rPr>
        <w:t xml:space="preserve">, where </w:t>
      </w:r>
      <w:r>
        <w:rPr>
          <w:lang w:eastAsia="zh-CN"/>
        </w:rPr>
        <w:t>the</w:t>
      </w:r>
      <w:r>
        <w:rPr>
          <w:rFonts w:hint="eastAsia"/>
          <w:lang w:eastAsia="zh-CN"/>
        </w:rPr>
        <w:t xml:space="preserve"> </w:t>
      </w:r>
      <w:r>
        <w:rPr>
          <w:lang w:eastAsia="zh-CN"/>
        </w:rPr>
        <w:t>CG-UCI</w:t>
      </w:r>
      <w:r>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bSup>
      </m:oMath>
      <w:r>
        <w:rPr>
          <w:rFonts w:hint="eastAsia"/>
          <w:lang w:eastAsia="zh-CN"/>
        </w:rPr>
        <w:t xml:space="preserve"> is given by Table</w:t>
      </w:r>
      <w:r>
        <w:rPr>
          <w:rFonts w:eastAsiaTheme="minorEastAsia"/>
        </w:rPr>
        <w:t xml:space="preserve"> </w:t>
      </w:r>
      <w:r>
        <w:rPr>
          <w:rFonts w:hint="eastAsia"/>
          <w:lang w:eastAsia="zh-CN"/>
        </w:rPr>
        <w:t>6.3.2.</w:t>
      </w:r>
      <w:r>
        <w:rPr>
          <w:lang w:eastAsia="zh-CN"/>
        </w:rPr>
        <w:t>1</w:t>
      </w:r>
      <w:r>
        <w:rPr>
          <w:rFonts w:hint="eastAsia"/>
          <w:lang w:eastAsia="zh-CN"/>
        </w:rPr>
        <w:t>.</w:t>
      </w:r>
      <w:r>
        <w:rPr>
          <w:lang w:eastAsia="zh-CN"/>
        </w:rPr>
        <w:t>3</w:t>
      </w:r>
      <w:r>
        <w:rPr>
          <w:rFonts w:eastAsiaTheme="minorEastAsia"/>
        </w:rPr>
        <w:t>-1</w:t>
      </w:r>
      <w:r>
        <w:rPr>
          <w:rFonts w:hint="eastAsia" w:eastAsiaTheme="minorEastAsia"/>
          <w:lang w:eastAsia="zh-CN"/>
        </w:rPr>
        <w:t>, mapped in the order from upper part to lower part</w:t>
      </w:r>
      <w:r>
        <w:rPr>
          <w:rFonts w:eastAsiaTheme="minorEastAsia"/>
          <w:lang w:eastAsia="zh-CN"/>
        </w:rPr>
        <w:t>.</w:t>
      </w:r>
    </w:p>
    <w:p>
      <w:pPr>
        <w:pStyle w:val="92"/>
        <w:rPr>
          <w:rFonts w:eastAsiaTheme="minorEastAsia"/>
        </w:rPr>
      </w:pPr>
      <w:r>
        <w:rPr>
          <w:rFonts w:eastAsiaTheme="minorEastAsia"/>
        </w:rPr>
        <w:t xml:space="preserve">Table </w:t>
      </w:r>
      <w:r>
        <w:rPr>
          <w:rFonts w:hint="eastAsia"/>
          <w:lang w:eastAsia="zh-CN"/>
        </w:rPr>
        <w:t>6.3.2.1.</w:t>
      </w:r>
      <w:r>
        <w:rPr>
          <w:lang w:eastAsia="zh-CN"/>
        </w:rPr>
        <w:t>3</w:t>
      </w:r>
      <w:r>
        <w:rPr>
          <w:rFonts w:eastAsiaTheme="minorEastAsia"/>
        </w:rPr>
        <w:t>-1: Mapping order of CG-UCI fields</w:t>
      </w:r>
    </w:p>
    <w:tbl>
      <w:tblPr>
        <w:tblStyle w:val="60"/>
        <w:tblW w:w="9204" w:type="dxa"/>
        <w:jc w:val="center"/>
        <w:tblLayout w:type="autofit"/>
        <w:tblCellMar>
          <w:top w:w="0" w:type="dxa"/>
          <w:left w:w="0" w:type="dxa"/>
          <w:bottom w:w="0" w:type="dxa"/>
          <w:right w:w="0" w:type="dxa"/>
        </w:tblCellMar>
      </w:tblPr>
      <w:tblGrid>
        <w:gridCol w:w="3969"/>
        <w:gridCol w:w="5235"/>
      </w:tblGrid>
      <w:tr>
        <w:tblPrEx>
          <w:tblCellMar>
            <w:top w:w="0" w:type="dxa"/>
            <w:left w:w="0" w:type="dxa"/>
            <w:bottom w:w="0" w:type="dxa"/>
            <w:right w:w="0" w:type="dxa"/>
          </w:tblCellMar>
        </w:tblPrEx>
        <w:trPr>
          <w:trHeight w:val="350" w:hRule="atLeast"/>
          <w:jc w:val="center"/>
        </w:trPr>
        <w:tc>
          <w:tcPr>
            <w:tcW w:w="3568"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keepNext/>
              <w:keepLines/>
              <w:spacing w:after="0"/>
              <w:jc w:val="center"/>
              <w:rPr>
                <w:rFonts w:ascii="Arial" w:hAnsi="Arial" w:eastAsiaTheme="minorEastAsia"/>
                <w:b/>
                <w:sz w:val="18"/>
              </w:rPr>
            </w:pPr>
            <w:r>
              <w:rPr>
                <w:rFonts w:ascii="Arial" w:hAnsi="Arial" w:eastAsiaTheme="minorEastAsia"/>
                <w:b/>
                <w:sz w:val="18"/>
              </w:rPr>
              <w:t>Field</w:t>
            </w:r>
          </w:p>
        </w:tc>
        <w:tc>
          <w:tcPr>
            <w:tcW w:w="5636"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keepNext/>
              <w:keepLines/>
              <w:spacing w:after="0"/>
              <w:jc w:val="center"/>
              <w:rPr>
                <w:rFonts w:ascii="Arial" w:hAnsi="Arial" w:eastAsiaTheme="minorEastAsia"/>
                <w:b/>
                <w:sz w:val="18"/>
              </w:rPr>
            </w:pPr>
            <w:r>
              <w:rPr>
                <w:rFonts w:ascii="Arial" w:hAnsi="Arial" w:eastAsiaTheme="minorEastAsia"/>
                <w:b/>
                <w:sz w:val="18"/>
              </w:rPr>
              <w:t>Bitwidth</w:t>
            </w:r>
          </w:p>
        </w:tc>
      </w:tr>
      <w:tr>
        <w:tblPrEx>
          <w:tblCellMar>
            <w:top w:w="0" w:type="dxa"/>
            <w:left w:w="0" w:type="dxa"/>
            <w:bottom w:w="0" w:type="dxa"/>
            <w:right w:w="0" w:type="dxa"/>
          </w:tblCellMar>
        </w:tblPrEx>
        <w:trPr>
          <w:trHeight w:val="24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spacing w:after="0"/>
              <w:jc w:val="center"/>
              <w:rPr>
                <w:rFonts w:ascii="Arial" w:hAnsi="Arial" w:eastAsia="Calibri" w:cs="Arial"/>
                <w:sz w:val="18"/>
                <w:szCs w:val="18"/>
                <w:lang w:val="de-DE"/>
              </w:rPr>
            </w:pPr>
            <w:r>
              <w:rPr>
                <w:rFonts w:ascii="Arial" w:hAnsi="Arial" w:eastAsia="Calibri" w:cs="Arial"/>
                <w:sz w:val="18"/>
                <w:szCs w:val="18"/>
              </w:rPr>
              <w:t>HARQ process number</w:t>
            </w:r>
          </w:p>
        </w:tc>
        <w:tc>
          <w:tcPr>
            <w:tcW w:w="563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spacing w:after="0"/>
              <w:jc w:val="center"/>
              <w:rPr>
                <w:rFonts w:ascii="Arial" w:hAnsi="Arial" w:eastAsia="Calibri" w:cs="Arial"/>
                <w:sz w:val="18"/>
                <w:szCs w:val="18"/>
              </w:rPr>
            </w:pPr>
            <w:r>
              <w:rPr>
                <w:rFonts w:ascii="Arial" w:hAnsi="Arial" w:eastAsia="Calibri" w:cs="Arial"/>
                <w:sz w:val="18"/>
                <w:szCs w:val="18"/>
                <w:lang w:val="de-DE"/>
              </w:rPr>
              <w:t>4</w:t>
            </w:r>
          </w:p>
        </w:tc>
      </w:tr>
      <w:tr>
        <w:tblPrEx>
          <w:tblCellMar>
            <w:top w:w="0" w:type="dxa"/>
            <w:left w:w="0" w:type="dxa"/>
            <w:bottom w:w="0" w:type="dxa"/>
            <w:right w:w="0" w:type="dxa"/>
          </w:tblCellMar>
        </w:tblPrEx>
        <w:trPr>
          <w:trHeight w:val="24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spacing w:after="0"/>
              <w:jc w:val="center"/>
              <w:rPr>
                <w:rFonts w:ascii="Arial" w:hAnsi="Arial" w:eastAsia="Calibri" w:cs="Arial"/>
                <w:sz w:val="18"/>
                <w:szCs w:val="18"/>
              </w:rPr>
            </w:pPr>
            <w:r>
              <w:rPr>
                <w:rFonts w:ascii="Arial" w:hAnsi="Arial" w:eastAsia="Calibri" w:cs="Arial"/>
                <w:sz w:val="18"/>
                <w:szCs w:val="18"/>
              </w:rPr>
              <w:t>Redundancy version</w:t>
            </w:r>
          </w:p>
        </w:tc>
        <w:tc>
          <w:tcPr>
            <w:tcW w:w="563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spacing w:after="0"/>
              <w:jc w:val="center"/>
              <w:rPr>
                <w:rFonts w:ascii="Arial" w:hAnsi="Arial" w:eastAsia="Calibri" w:cs="Arial"/>
                <w:sz w:val="18"/>
                <w:szCs w:val="18"/>
              </w:rPr>
            </w:pPr>
            <w:r>
              <w:rPr>
                <w:rFonts w:ascii="Arial" w:hAnsi="Arial" w:eastAsia="Calibri" w:cs="Arial"/>
                <w:sz w:val="18"/>
                <w:szCs w:val="18"/>
              </w:rPr>
              <w:t>2</w:t>
            </w:r>
          </w:p>
        </w:tc>
      </w:tr>
      <w:tr>
        <w:tblPrEx>
          <w:tblCellMar>
            <w:top w:w="0" w:type="dxa"/>
            <w:left w:w="0" w:type="dxa"/>
            <w:bottom w:w="0" w:type="dxa"/>
            <w:right w:w="0" w:type="dxa"/>
          </w:tblCellMar>
        </w:tblPrEx>
        <w:trPr>
          <w:trHeight w:val="24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spacing w:after="0"/>
              <w:jc w:val="center"/>
              <w:rPr>
                <w:rFonts w:ascii="Arial" w:hAnsi="Arial" w:eastAsia="Calibri" w:cs="Arial"/>
                <w:sz w:val="18"/>
                <w:szCs w:val="18"/>
              </w:rPr>
            </w:pPr>
            <w:r>
              <w:rPr>
                <w:rFonts w:ascii="Arial" w:hAnsi="Arial" w:eastAsia="Calibri" w:cs="Arial"/>
                <w:sz w:val="18"/>
                <w:szCs w:val="18"/>
              </w:rPr>
              <w:t>New data indicator</w:t>
            </w:r>
          </w:p>
        </w:tc>
        <w:tc>
          <w:tcPr>
            <w:tcW w:w="563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spacing w:after="0"/>
              <w:jc w:val="center"/>
              <w:rPr>
                <w:rFonts w:ascii="Arial" w:hAnsi="Arial" w:eastAsia="Calibri" w:cs="Arial"/>
                <w:sz w:val="18"/>
                <w:szCs w:val="18"/>
              </w:rPr>
            </w:pPr>
            <w:r>
              <w:rPr>
                <w:rFonts w:ascii="Arial" w:hAnsi="Arial" w:eastAsia="Calibri" w:cs="Arial"/>
                <w:sz w:val="18"/>
                <w:szCs w:val="18"/>
              </w:rPr>
              <w:t>1</w:t>
            </w:r>
          </w:p>
        </w:tc>
      </w:tr>
      <w:tr>
        <w:tblPrEx>
          <w:tblCellMar>
            <w:top w:w="0" w:type="dxa"/>
            <w:left w:w="0" w:type="dxa"/>
            <w:bottom w:w="0" w:type="dxa"/>
            <w:right w:w="0" w:type="dxa"/>
          </w:tblCellMar>
        </w:tblPrEx>
        <w:trPr>
          <w:trHeight w:val="24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spacing w:after="0"/>
              <w:jc w:val="center"/>
              <w:rPr>
                <w:rFonts w:ascii="Arial" w:hAnsi="Arial" w:eastAsia="Calibri" w:cs="Arial"/>
                <w:sz w:val="18"/>
                <w:szCs w:val="18"/>
                <w:lang w:val="de-DE"/>
              </w:rPr>
            </w:pPr>
            <w:r>
              <w:rPr>
                <w:rFonts w:ascii="Arial" w:hAnsi="Arial" w:eastAsia="Calibri" w:cs="Arial"/>
                <w:sz w:val="18"/>
                <w:szCs w:val="18"/>
              </w:rPr>
              <w:t>Channel Occupancy Time (COT) sharing information</w:t>
            </w:r>
          </w:p>
        </w:tc>
        <w:tc>
          <w:tcPr>
            <w:tcW w:w="5636" w:type="dxa"/>
            <w:tcBorders>
              <w:top w:val="single" w:color="auto" w:sz="8" w:space="0"/>
              <w:left w:val="nil"/>
              <w:bottom w:val="single" w:color="auto" w:sz="4" w:space="0"/>
              <w:right w:val="single" w:color="auto" w:sz="8" w:space="0"/>
            </w:tcBorders>
            <w:tcMar>
              <w:top w:w="0" w:type="dxa"/>
              <w:left w:w="108" w:type="dxa"/>
              <w:bottom w:w="0" w:type="dxa"/>
              <w:right w:w="108" w:type="dxa"/>
            </w:tcMar>
            <w:vAlign w:val="center"/>
          </w:tcPr>
          <w:p>
            <w:pPr>
              <w:keepNext/>
              <w:spacing w:after="0"/>
              <w:rPr>
                <w:rFonts w:eastAsiaTheme="minorEastAsia"/>
                <w:i/>
                <w:sz w:val="18"/>
                <w:szCs w:val="18"/>
                <w:lang w:eastAsia="zh-CN"/>
              </w:rPr>
            </w:pPr>
            <m:oMath>
              <m:d>
                <m:dPr>
                  <m:begChr m:val="⌈"/>
                  <m:endChr m:val="⌉"/>
                  <m:ctrlPr>
                    <w:rPr>
                      <w:rFonts w:ascii="Cambria Math" w:hAnsi="Cambria Math" w:eastAsia="Calibri"/>
                      <w:sz w:val="18"/>
                      <w:szCs w:val="18"/>
                      <w:lang w:val="de-DE"/>
                    </w:rPr>
                  </m:ctrlPr>
                </m:dPr>
                <m:e>
                  <m:sSub>
                    <m:sSubPr>
                      <m:ctrlPr>
                        <w:rPr>
                          <w:rFonts w:ascii="Cambria Math" w:hAnsi="Cambria Math" w:eastAsia="Calibri"/>
                          <w:sz w:val="18"/>
                          <w:szCs w:val="18"/>
                          <w:lang w:val="de-DE"/>
                        </w:rPr>
                      </m:ctrlPr>
                    </m:sSubPr>
                    <m:e>
                      <m:r>
                        <m:rPr>
                          <m:sty m:val="p"/>
                        </m:rPr>
                        <w:rPr>
                          <w:rFonts w:ascii="Cambria Math" w:hAnsi="Cambria Math" w:eastAsia="Calibri"/>
                          <w:sz w:val="18"/>
                          <w:szCs w:val="18"/>
                          <w:lang w:val="de-DE"/>
                        </w:rPr>
                        <m:t>log</m:t>
                      </m:r>
                      <m:ctrlPr>
                        <w:rPr>
                          <w:rFonts w:ascii="Cambria Math" w:hAnsi="Cambria Math" w:eastAsia="Calibri"/>
                          <w:sz w:val="18"/>
                          <w:szCs w:val="18"/>
                          <w:lang w:val="de-DE"/>
                        </w:rPr>
                      </m:ctrlPr>
                    </m:e>
                    <m:sub>
                      <m:r>
                        <m:rPr/>
                        <w:rPr>
                          <w:rFonts w:ascii="Cambria Math" w:hAnsi="Cambria Math" w:eastAsia="Calibri"/>
                          <w:sz w:val="18"/>
                          <w:szCs w:val="18"/>
                          <w:lang w:val="de-DE"/>
                        </w:rPr>
                        <m:t>2</m:t>
                      </m:r>
                      <m:ctrlPr>
                        <w:rPr>
                          <w:rFonts w:ascii="Cambria Math" w:hAnsi="Cambria Math" w:eastAsia="Calibri"/>
                          <w:sz w:val="18"/>
                          <w:szCs w:val="18"/>
                          <w:lang w:val="de-DE"/>
                        </w:rPr>
                      </m:ctrlPr>
                    </m:sub>
                  </m:sSub>
                  <m:r>
                    <m:rPr/>
                    <w:rPr>
                      <w:rFonts w:ascii="Cambria Math" w:hAnsi="Cambria Math" w:eastAsia="Calibri"/>
                      <w:sz w:val="18"/>
                      <w:szCs w:val="18"/>
                      <w:lang w:val="de-DE"/>
                    </w:rPr>
                    <m:t>C</m:t>
                  </m:r>
                  <m:ctrlPr>
                    <w:rPr>
                      <w:rFonts w:ascii="Cambria Math" w:hAnsi="Cambria Math" w:eastAsia="Calibri"/>
                      <w:sz w:val="18"/>
                      <w:szCs w:val="18"/>
                      <w:lang w:val="de-DE"/>
                    </w:rPr>
                  </m:ctrlPr>
                </m:e>
              </m:d>
            </m:oMath>
            <w:r>
              <w:rPr>
                <w:rFonts w:eastAsia="Calibri"/>
                <w:sz w:val="18"/>
                <w:szCs w:val="18"/>
                <w:lang w:val="de-DE"/>
              </w:rPr>
              <w:t xml:space="preserve"> if both higher layer parameter </w:t>
            </w:r>
            <w:r>
              <w:rPr>
                <w:i/>
                <w:sz w:val="18"/>
                <w:szCs w:val="18"/>
                <w:lang w:eastAsia="zh-CN"/>
              </w:rPr>
              <w:t>ul-toDL-COT-SharingED-Threshold</w:t>
            </w:r>
            <w:r>
              <w:rPr>
                <w:rFonts w:eastAsiaTheme="minorEastAsia"/>
                <w:sz w:val="18"/>
                <w:szCs w:val="18"/>
                <w:lang w:eastAsia="zh-CN"/>
              </w:rPr>
              <w:t xml:space="preserve"> and </w:t>
            </w:r>
            <w:r>
              <w:rPr>
                <w:rFonts w:eastAsia="Calibri"/>
                <w:sz w:val="18"/>
                <w:szCs w:val="18"/>
                <w:lang w:val="de-DE"/>
              </w:rPr>
              <w:t>higher layer parameter</w:t>
            </w:r>
            <w:r>
              <w:rPr>
                <w:rFonts w:eastAsiaTheme="minorEastAsia"/>
                <w:sz w:val="18"/>
                <w:szCs w:val="18"/>
                <w:lang w:eastAsia="zh-CN"/>
              </w:rPr>
              <w:t xml:space="preserve"> </w:t>
            </w:r>
            <w:r>
              <w:rPr>
                <w:rFonts w:eastAsiaTheme="minorEastAsia"/>
                <w:i/>
                <w:sz w:val="18"/>
                <w:szCs w:val="18"/>
                <w:lang w:eastAsia="zh-CN"/>
              </w:rPr>
              <w:t>cg-COT-SharingList</w:t>
            </w:r>
            <w:r>
              <w:rPr>
                <w:rFonts w:eastAsiaTheme="minorEastAsia"/>
                <w:sz w:val="18"/>
                <w:szCs w:val="18"/>
                <w:lang w:eastAsia="zh-CN"/>
              </w:rPr>
              <w:t xml:space="preserve"> are configured, </w:t>
            </w:r>
            <w:r>
              <w:rPr>
                <w:sz w:val="18"/>
                <w:szCs w:val="18"/>
                <w:lang w:eastAsia="zh-CN"/>
              </w:rPr>
              <w:t>o</w:t>
            </w:r>
            <w:r>
              <w:rPr>
                <w:rFonts w:eastAsia="等线"/>
                <w:sz w:val="18"/>
                <w:szCs w:val="18"/>
                <w:lang w:eastAsia="zh-CN"/>
              </w:rPr>
              <w:t xml:space="preserve">r </w:t>
            </w:r>
            <w:r>
              <w:rPr>
                <w:rFonts w:eastAsia="等线"/>
                <w:sz w:val="18"/>
                <w:szCs w:val="18"/>
                <w:lang w:val="en-US" w:eastAsia="zh-CN"/>
              </w:rPr>
              <w:t>if</w:t>
            </w:r>
            <w:r>
              <w:rPr>
                <w:rFonts w:eastAsia="等线"/>
                <w:sz w:val="18"/>
                <w:szCs w:val="18"/>
                <w:lang w:eastAsia="zh-CN"/>
              </w:rPr>
              <w:t xml:space="preserve"> both </w:t>
            </w:r>
            <w:r>
              <w:rPr>
                <w:rFonts w:eastAsia="Calibri"/>
                <w:sz w:val="18"/>
                <w:szCs w:val="18"/>
                <w:lang w:val="de-DE"/>
              </w:rPr>
              <w:t>higher layer parameter</w:t>
            </w:r>
            <w:r>
              <w:rPr>
                <w:rFonts w:eastAsia="等线"/>
                <w:sz w:val="18"/>
                <w:szCs w:val="18"/>
                <w:lang w:eastAsia="zh-CN"/>
              </w:rPr>
              <w:t xml:space="preserve"> </w:t>
            </w:r>
            <w:r>
              <w:rPr>
                <w:i/>
                <w:iCs/>
                <w:color w:val="FF0000"/>
                <w:sz w:val="18"/>
                <w:szCs w:val="18"/>
              </w:rPr>
              <w:t>semiStaticChannelAccessConfigUE</w:t>
            </w:r>
            <w:r>
              <w:rPr>
                <w:rFonts w:hint="eastAsia" w:eastAsia="宋体"/>
                <w:lang w:val="en-US" w:eastAsia="zh-CN"/>
              </w:rPr>
              <w:t xml:space="preserve"> </w:t>
            </w:r>
            <w:r>
              <w:rPr>
                <w:rFonts w:eastAsia="等线"/>
                <w:i/>
                <w:strike/>
                <w:dstrike w:val="0"/>
                <w:color w:val="FF0000"/>
                <w:sz w:val="18"/>
                <w:szCs w:val="18"/>
                <w:lang w:val="en-US" w:eastAsia="zh-CN"/>
              </w:rPr>
              <w:t>ue-SemiStaticChannelAccessConfig</w:t>
            </w:r>
            <w:r>
              <w:rPr>
                <w:rFonts w:eastAsia="等线"/>
                <w:sz w:val="18"/>
                <w:szCs w:val="18"/>
                <w:lang w:val="en-US" w:eastAsia="zh-CN"/>
              </w:rPr>
              <w:t xml:space="preserve"> </w:t>
            </w:r>
            <w:r>
              <w:rPr>
                <w:rFonts w:eastAsia="等线"/>
                <w:sz w:val="18"/>
                <w:szCs w:val="18"/>
                <w:lang w:eastAsia="zh-CN"/>
              </w:rPr>
              <w:t xml:space="preserve">and </w:t>
            </w:r>
            <w:r>
              <w:rPr>
                <w:rFonts w:eastAsia="等线"/>
                <w:sz w:val="18"/>
                <w:szCs w:val="18"/>
                <w:lang w:val="de-DE" w:eastAsia="zh-CN"/>
              </w:rPr>
              <w:t>higher layer parameter</w:t>
            </w:r>
            <w:r>
              <w:rPr>
                <w:rFonts w:eastAsia="等线"/>
                <w:sz w:val="18"/>
                <w:szCs w:val="18"/>
                <w:lang w:eastAsia="zh-CN"/>
              </w:rPr>
              <w:t xml:space="preserve"> </w:t>
            </w:r>
            <w:r>
              <w:rPr>
                <w:rFonts w:eastAsia="等线"/>
                <w:i/>
                <w:sz w:val="18"/>
                <w:szCs w:val="18"/>
                <w:lang w:eastAsia="zh-CN"/>
              </w:rPr>
              <w:t>cg-COT-SharingList</w:t>
            </w:r>
            <w:r>
              <w:rPr>
                <w:rFonts w:eastAsia="等线"/>
                <w:sz w:val="18"/>
                <w:szCs w:val="18"/>
                <w:lang w:eastAsia="zh-CN"/>
              </w:rPr>
              <w:t xml:space="preserve"> are configured</w:t>
            </w:r>
            <w:r>
              <w:rPr>
                <w:rFonts w:eastAsia="等线"/>
                <w:sz w:val="18"/>
                <w:szCs w:val="18"/>
              </w:rPr>
              <w:t xml:space="preserve">, or if higher layer parameter </w:t>
            </w:r>
            <w:r>
              <w:rPr>
                <w:rFonts w:eastAsia="等线"/>
                <w:i/>
                <w:iCs/>
                <w:sz w:val="18"/>
                <w:szCs w:val="18"/>
              </w:rPr>
              <w:t xml:space="preserve">cg-COT-SharingList </w:t>
            </w:r>
            <w:r>
              <w:rPr>
                <w:rFonts w:eastAsia="等线"/>
                <w:sz w:val="18"/>
                <w:szCs w:val="18"/>
              </w:rPr>
              <w:t>is configured in frequency range 2-2</w:t>
            </w:r>
            <w:r>
              <w:rPr>
                <w:rFonts w:eastAsia="等线"/>
                <w:sz w:val="18"/>
                <w:szCs w:val="18"/>
                <w:lang w:eastAsia="zh-CN"/>
              </w:rPr>
              <w:t xml:space="preserve">, </w:t>
            </w:r>
            <w:r>
              <w:rPr>
                <w:rFonts w:eastAsiaTheme="minorEastAsia"/>
                <w:sz w:val="18"/>
                <w:szCs w:val="18"/>
                <w:lang w:eastAsia="zh-CN"/>
              </w:rPr>
              <w:t xml:space="preserve">where </w:t>
            </w:r>
            <w:r>
              <w:rPr>
                <w:rFonts w:eastAsia="Calibri"/>
                <w:i/>
                <w:sz w:val="18"/>
                <w:szCs w:val="18"/>
              </w:rPr>
              <w:t>C</w:t>
            </w:r>
            <w:r>
              <w:rPr>
                <w:rFonts w:eastAsia="Calibri"/>
                <w:sz w:val="18"/>
                <w:szCs w:val="18"/>
              </w:rPr>
              <w:t xml:space="preserve"> is the number of combinations configured in </w:t>
            </w:r>
            <w:r>
              <w:rPr>
                <w:rFonts w:eastAsiaTheme="minorEastAsia"/>
                <w:i/>
                <w:sz w:val="18"/>
                <w:szCs w:val="18"/>
                <w:lang w:eastAsia="zh-CN"/>
              </w:rPr>
              <w:t xml:space="preserve">cg-COT-SharingList; </w:t>
            </w:r>
          </w:p>
          <w:p>
            <w:pPr>
              <w:keepNext/>
              <w:spacing w:after="0"/>
              <w:rPr>
                <w:rFonts w:eastAsiaTheme="minorEastAsia"/>
                <w:i/>
                <w:sz w:val="18"/>
                <w:szCs w:val="18"/>
                <w:lang w:eastAsia="zh-CN"/>
              </w:rPr>
            </w:pPr>
          </w:p>
          <w:p>
            <w:pPr>
              <w:keepNext/>
              <w:spacing w:after="0"/>
              <w:rPr>
                <w:rFonts w:eastAsiaTheme="minorEastAsia"/>
                <w:sz w:val="18"/>
                <w:szCs w:val="18"/>
                <w:lang w:eastAsia="zh-CN"/>
              </w:rPr>
            </w:pPr>
            <w:r>
              <w:rPr>
                <w:rFonts w:eastAsia="Calibri"/>
                <w:sz w:val="18"/>
                <w:szCs w:val="18"/>
                <w:lang w:val="de-DE"/>
              </w:rPr>
              <w:t xml:space="preserve">1 if higher layer parameter </w:t>
            </w:r>
            <w:r>
              <w:rPr>
                <w:i/>
                <w:sz w:val="18"/>
                <w:szCs w:val="18"/>
                <w:lang w:eastAsia="zh-CN"/>
              </w:rPr>
              <w:t>ul-toDL-COT-SharingED-Threshold</w:t>
            </w:r>
            <w:r>
              <w:rPr>
                <w:rFonts w:eastAsiaTheme="minorEastAsia"/>
                <w:sz w:val="18"/>
                <w:szCs w:val="18"/>
                <w:lang w:eastAsia="zh-CN"/>
              </w:rPr>
              <w:t xml:space="preserve"> is not configured</w:t>
            </w:r>
            <w:r>
              <w:rPr>
                <w:sz w:val="18"/>
                <w:szCs w:val="18"/>
                <w:lang w:eastAsia="zh-CN"/>
              </w:rPr>
              <w:t xml:space="preserve">, and if </w:t>
            </w:r>
            <w:r>
              <w:rPr>
                <w:rFonts w:eastAsia="Calibri"/>
                <w:sz w:val="18"/>
                <w:szCs w:val="18"/>
                <w:lang w:val="de-DE"/>
              </w:rPr>
              <w:t>higher layer parameter</w:t>
            </w:r>
            <w:r>
              <w:rPr>
                <w:rFonts w:eastAsia="等线"/>
                <w:sz w:val="18"/>
                <w:szCs w:val="18"/>
                <w:lang w:eastAsia="zh-CN"/>
              </w:rPr>
              <w:t xml:space="preserve"> </w:t>
            </w:r>
            <w:r>
              <w:rPr>
                <w:i/>
                <w:iCs/>
                <w:color w:val="FF0000"/>
                <w:sz w:val="18"/>
                <w:szCs w:val="18"/>
              </w:rPr>
              <w:t>semiStaticChannelAccessConfigUE</w:t>
            </w:r>
            <w:r>
              <w:rPr>
                <w:rFonts w:hint="eastAsia" w:eastAsia="宋体"/>
                <w:i/>
                <w:iCs/>
                <w:color w:val="FF0000"/>
                <w:lang w:val="en-US" w:eastAsia="zh-CN"/>
              </w:rPr>
              <w:t xml:space="preserve"> </w:t>
            </w:r>
            <w:r>
              <w:rPr>
                <w:rFonts w:eastAsia="等线"/>
                <w:i/>
                <w:strike/>
                <w:dstrike w:val="0"/>
                <w:color w:val="FF0000"/>
                <w:sz w:val="18"/>
                <w:szCs w:val="18"/>
                <w:lang w:val="en-US" w:eastAsia="zh-CN"/>
              </w:rPr>
              <w:t>ue-SemiStaticChannelAccessConfig</w:t>
            </w:r>
            <w:r>
              <w:rPr>
                <w:sz w:val="18"/>
                <w:szCs w:val="18"/>
                <w:lang w:eastAsia="zh-CN"/>
              </w:rPr>
              <w:t xml:space="preserve"> is not configured,</w:t>
            </w:r>
            <w:r>
              <w:rPr>
                <w:rFonts w:eastAsiaTheme="minorEastAsia"/>
                <w:sz w:val="18"/>
                <w:szCs w:val="18"/>
                <w:lang w:eastAsia="zh-CN"/>
              </w:rPr>
              <w:t xml:space="preserve"> and if </w:t>
            </w:r>
            <w:r>
              <w:rPr>
                <w:rFonts w:eastAsia="Calibri"/>
                <w:sz w:val="18"/>
                <w:szCs w:val="18"/>
                <w:lang w:val="de-DE"/>
              </w:rPr>
              <w:t>higher layer parameter</w:t>
            </w:r>
            <w:r>
              <w:rPr>
                <w:rFonts w:eastAsiaTheme="minorEastAsia"/>
                <w:sz w:val="18"/>
                <w:szCs w:val="18"/>
                <w:lang w:eastAsia="zh-CN"/>
              </w:rPr>
              <w:t xml:space="preserve"> </w:t>
            </w:r>
            <w:r>
              <w:rPr>
                <w:rFonts w:eastAsiaTheme="minorEastAsia"/>
                <w:i/>
                <w:sz w:val="18"/>
                <w:szCs w:val="18"/>
                <w:lang w:eastAsia="zh-CN"/>
              </w:rPr>
              <w:t>cg-COT-SharingOffset</w:t>
            </w:r>
            <w:r>
              <w:rPr>
                <w:rFonts w:eastAsiaTheme="minorEastAsia"/>
                <w:sz w:val="18"/>
                <w:szCs w:val="18"/>
                <w:lang w:eastAsia="zh-CN"/>
              </w:rPr>
              <w:t xml:space="preserve"> is configured;</w:t>
            </w:r>
          </w:p>
          <w:p>
            <w:pPr>
              <w:keepNext/>
              <w:spacing w:after="0"/>
              <w:rPr>
                <w:rFonts w:eastAsiaTheme="minorEastAsia"/>
                <w:sz w:val="18"/>
                <w:szCs w:val="18"/>
                <w:lang w:eastAsia="zh-CN"/>
              </w:rPr>
            </w:pPr>
          </w:p>
          <w:p>
            <w:pPr>
              <w:keepNext/>
              <w:spacing w:after="0"/>
              <w:rPr>
                <w:sz w:val="18"/>
                <w:szCs w:val="18"/>
                <w:lang w:eastAsia="zh-CN"/>
              </w:rPr>
            </w:pPr>
            <w:r>
              <w:rPr>
                <w:rFonts w:eastAsia="Calibri"/>
                <w:sz w:val="18"/>
                <w:szCs w:val="18"/>
                <w:lang w:val="de-DE"/>
              </w:rPr>
              <w:t>0 otherwise</w:t>
            </w:r>
            <w:r>
              <w:rPr>
                <w:rFonts w:eastAsiaTheme="minorEastAsia"/>
                <w:sz w:val="18"/>
                <w:szCs w:val="18"/>
                <w:lang w:eastAsia="zh-CN"/>
              </w:rPr>
              <w:t>;</w:t>
            </w:r>
            <w:r>
              <w:rPr>
                <w:sz w:val="18"/>
                <w:szCs w:val="18"/>
                <w:lang w:eastAsia="zh-CN"/>
              </w:rPr>
              <w:t xml:space="preserve"> </w:t>
            </w:r>
          </w:p>
          <w:p>
            <w:pPr>
              <w:keepNext/>
              <w:spacing w:after="0"/>
              <w:rPr>
                <w:sz w:val="18"/>
                <w:szCs w:val="18"/>
                <w:lang w:eastAsia="zh-CN"/>
              </w:rPr>
            </w:pPr>
          </w:p>
          <w:p>
            <w:pPr>
              <w:keepNext/>
              <w:spacing w:after="0"/>
              <w:rPr>
                <w:rFonts w:eastAsiaTheme="minorEastAsia"/>
                <w:i/>
                <w:sz w:val="18"/>
                <w:szCs w:val="18"/>
                <w:lang w:eastAsia="zh-CN"/>
              </w:rPr>
            </w:pPr>
            <w:r>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pPr>
        <w:rPr>
          <w:lang w:eastAsia="zh-CN"/>
        </w:rPr>
      </w:pPr>
    </w:p>
    <w:p>
      <w:pPr>
        <w:widowControl w:val="0"/>
        <w:spacing w:line="240" w:lineRule="auto"/>
        <w:jc w:val="center"/>
      </w:pPr>
      <w:r>
        <w:rPr>
          <w:b/>
          <w:bCs/>
          <w:color w:val="FF0000"/>
          <w:lang w:eastAsia="zh-CN"/>
        </w:rPr>
        <w:t>&lt; Unchanged text omitted &gt;</w:t>
      </w:r>
    </w:p>
    <w:p>
      <w:pPr>
        <w:rPr>
          <w:color w:val="000000"/>
        </w:rPr>
      </w:pPr>
    </w:p>
    <w:p>
      <w:pPr>
        <w:rPr>
          <w:color w:val="000000"/>
        </w:rPr>
      </w:pPr>
    </w:p>
    <w:p>
      <w:pPr>
        <w:pStyle w:val="6"/>
        <w:rPr>
          <w:lang w:eastAsia="zh-CN"/>
        </w:rPr>
      </w:pPr>
      <w:bookmarkStart w:id="10" w:name="_Toc36046207"/>
      <w:bookmarkStart w:id="11" w:name="_Toc36046353"/>
      <w:bookmarkStart w:id="12" w:name="_Toc26467246"/>
      <w:bookmarkStart w:id="13" w:name="_Toc36045947"/>
      <w:bookmarkStart w:id="14" w:name="_Toc51852444"/>
      <w:bookmarkStart w:id="15" w:name="_Toc45209270"/>
      <w:bookmarkStart w:id="16" w:name="_Toc29326607"/>
      <w:bookmarkStart w:id="17" w:name="_Toc19798775"/>
      <w:bookmarkStart w:id="18" w:name="_Toc114127224"/>
      <w:bookmarkStart w:id="19" w:name="_Toc29327757"/>
      <w:r>
        <w:rPr>
          <w:rFonts w:hint="eastAsia"/>
          <w:lang w:eastAsia="zh-CN"/>
        </w:rPr>
        <w:t>7.3.1.1.1</w:t>
      </w:r>
      <w:r>
        <w:rPr>
          <w:rFonts w:hint="eastAsia"/>
          <w:lang w:eastAsia="zh-CN"/>
        </w:rPr>
        <w:tab/>
      </w:r>
      <w:r>
        <w:rPr>
          <w:rFonts w:hint="eastAsia"/>
          <w:lang w:eastAsia="zh-CN"/>
        </w:rPr>
        <w:t>Format 0_0</w:t>
      </w:r>
      <w:bookmarkEnd w:id="10"/>
      <w:bookmarkEnd w:id="11"/>
      <w:bookmarkEnd w:id="12"/>
      <w:bookmarkEnd w:id="13"/>
      <w:bookmarkEnd w:id="14"/>
      <w:bookmarkEnd w:id="15"/>
      <w:bookmarkEnd w:id="16"/>
      <w:bookmarkEnd w:id="17"/>
      <w:bookmarkEnd w:id="18"/>
      <w:bookmarkEnd w:id="19"/>
    </w:p>
    <w:p>
      <w:pPr>
        <w:widowControl w:val="0"/>
        <w:spacing w:line="240" w:lineRule="auto"/>
        <w:jc w:val="center"/>
      </w:pPr>
      <w:r>
        <w:rPr>
          <w:b/>
          <w:bCs/>
          <w:color w:val="FF0000"/>
          <w:lang w:eastAsia="zh-CN"/>
        </w:rPr>
        <w:t>&lt; Unchanged text omitted &gt;</w:t>
      </w:r>
    </w:p>
    <w:p>
      <w:pPr>
        <w:rPr>
          <w:lang w:eastAsia="zh-CN"/>
        </w:rPr>
      </w:pPr>
    </w:p>
    <w:p>
      <w:pPr>
        <w:pStyle w:val="92"/>
        <w:rPr>
          <w:lang w:eastAsia="zh-CN"/>
        </w:rPr>
      </w:pPr>
      <w:r>
        <w:t xml:space="preserve">Table </w:t>
      </w:r>
      <w:r>
        <w:rPr>
          <w:lang w:eastAsia="zh-CN"/>
        </w:rPr>
        <w:t>7.3.1.1.1</w:t>
      </w:r>
      <w:r>
        <w:t>-</w:t>
      </w:r>
      <w:r>
        <w:rPr>
          <w:lang w:eastAsia="zh-CN"/>
        </w:rPr>
        <w:t>4</w:t>
      </w:r>
      <w:r>
        <w:rPr>
          <w:lang w:val="en-US" w:eastAsia="zh-CN"/>
        </w:rPr>
        <w:t>A</w:t>
      </w:r>
      <w:r>
        <w:rPr>
          <w:lang w:eastAsia="zh-CN"/>
        </w:rPr>
        <w:t>: Channel access type &amp; CP extension i</w:t>
      </w:r>
      <w:r>
        <w:rPr>
          <w:lang w:val="en-US" w:eastAsia="zh-CN"/>
        </w:rPr>
        <w:t>f</w:t>
      </w:r>
      <w:r>
        <w:rPr>
          <w:i/>
          <w:lang w:eastAsia="zh-CN"/>
        </w:rPr>
        <w:t xml:space="preserve"> channelAccessMode-r16</w:t>
      </w:r>
      <w:r>
        <w:rPr>
          <w:lang w:eastAsia="zh-CN"/>
        </w:rPr>
        <w:t xml:space="preserve"> = "</w:t>
      </w:r>
      <w:r>
        <w:rPr>
          <w:i/>
          <w:iCs/>
        </w:rPr>
        <w:t>semiStatic</w:t>
      </w:r>
      <w:r>
        <w:rPr>
          <w:lang w:eastAsia="zh-CN"/>
        </w:rPr>
        <w:t>"</w:t>
      </w:r>
      <w:r>
        <w:rPr>
          <w:lang w:val="en-US" w:eastAsia="zh-CN"/>
        </w:rPr>
        <w:t xml:space="preserve"> is provided</w:t>
      </w:r>
      <w:r>
        <w:t xml:space="preserve"> </w:t>
      </w:r>
    </w:p>
    <w:tbl>
      <w:tblPr>
        <w:tblStyle w:val="60"/>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2"/>
        <w:gridCol w:w="2414"/>
        <w:gridCol w:w="2745"/>
        <w:gridCol w:w="2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spacing w:after="0"/>
              <w:jc w:val="center"/>
              <w:rPr>
                <w:rFonts w:ascii="Arial" w:hAnsi="Arial"/>
                <w:b/>
                <w:sz w:val="18"/>
                <w:szCs w:val="22"/>
                <w:lang w:eastAsia="zh-CN"/>
              </w:rPr>
            </w:pPr>
            <w:r>
              <w:rPr>
                <w:rFonts w:ascii="Arial" w:hAnsi="Arial"/>
                <w:b/>
                <w:sz w:val="18"/>
                <w:lang w:eastAsia="zh-CN"/>
              </w:rPr>
              <w:t>Bit field mapped to index</w:t>
            </w:r>
          </w:p>
        </w:tc>
        <w:tc>
          <w:tcPr>
            <w:tcW w:w="2414"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spacing w:after="0"/>
              <w:jc w:val="center"/>
              <w:rPr>
                <w:rFonts w:ascii="Arial" w:hAnsi="Arial"/>
                <w:b/>
                <w:sz w:val="18"/>
                <w:lang w:eastAsia="zh-CN"/>
              </w:rPr>
            </w:pPr>
            <w:r>
              <w:rPr>
                <w:rFonts w:ascii="Arial" w:hAnsi="Arial"/>
                <w:b/>
                <w:sz w:val="18"/>
                <w:lang w:eastAsia="zh-CN"/>
              </w:rPr>
              <w:t xml:space="preserve">Channel Access Type </w:t>
            </w:r>
          </w:p>
        </w:tc>
        <w:tc>
          <w:tcPr>
            <w:tcW w:w="2745"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spacing w:after="0"/>
              <w:jc w:val="center"/>
              <w:rPr>
                <w:rFonts w:ascii="Arial" w:hAnsi="Arial"/>
                <w:b/>
                <w:sz w:val="18"/>
                <w:lang w:eastAsia="zh-CN"/>
              </w:rPr>
            </w:pPr>
            <w:r>
              <w:rPr>
                <w:rFonts w:ascii="Arial" w:hAnsi="Arial"/>
                <w:b/>
                <w:sz w:val="18"/>
                <w:lang w:eastAsia="zh-CN"/>
              </w:rPr>
              <w:t>The CP extension T_"ext"  index defined in Clause 5.3.1 of [4, TS 38.211]</w:t>
            </w:r>
          </w:p>
        </w:tc>
        <w:tc>
          <w:tcPr>
            <w:tcW w:w="2508"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zh-CN"/>
              </w:rPr>
            </w:pPr>
            <w:r>
              <w:rPr>
                <w:rFonts w:ascii="Arial" w:hAnsi="Arial"/>
                <w:b/>
                <w:sz w:val="18"/>
                <w:lang w:eastAsia="zh-CN"/>
              </w:rPr>
              <w:t>Initiator of the channel occupancy associated with the UL transmission as described in Clause x.x in TS 37.213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lang w:eastAsia="zh-CN"/>
              </w:rPr>
            </w:pPr>
            <w:r>
              <w:rPr>
                <w:rFonts w:ascii="Arial" w:hAnsi="Arial"/>
                <w:sz w:val="18"/>
                <w:lang w:eastAsia="zh-CN"/>
              </w:rPr>
              <w:t>0</w:t>
            </w:r>
          </w:p>
        </w:tc>
        <w:tc>
          <w:tcPr>
            <w:tcW w:w="2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No sensing as defined in Clause 4.3 in TS 37.213</w:t>
            </w:r>
          </w:p>
        </w:tc>
        <w:tc>
          <w:tcPr>
            <w:tcW w:w="2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c>
          <w:tcPr>
            <w:tcW w:w="25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lang w:eastAsia="zh-CN"/>
              </w:rPr>
            </w:pPr>
            <w:r>
              <w:rPr>
                <w:rFonts w:ascii="Arial" w:hAnsi="Arial"/>
                <w:sz w:val="18"/>
                <w:lang w:eastAsia="zh-CN"/>
              </w:rPr>
              <w:t>1</w:t>
            </w:r>
          </w:p>
        </w:tc>
        <w:tc>
          <w:tcPr>
            <w:tcW w:w="2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No sensing as defined in Clause 4.3 in TS 37.213</w:t>
            </w:r>
          </w:p>
        </w:tc>
        <w:tc>
          <w:tcPr>
            <w:tcW w:w="2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w:t>
            </w:r>
          </w:p>
        </w:tc>
        <w:tc>
          <w:tcPr>
            <w:tcW w:w="25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lang w:eastAsia="zh-CN"/>
              </w:rPr>
            </w:pPr>
            <w:r>
              <w:rPr>
                <w:rFonts w:ascii="Arial" w:hAnsi="Arial"/>
                <w:sz w:val="18"/>
                <w:lang w:eastAsia="zh-CN"/>
              </w:rPr>
              <w:t>2</w:t>
            </w:r>
          </w:p>
        </w:tc>
        <w:tc>
          <w:tcPr>
            <w:tcW w:w="2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color w:val="000000" w:themeColor="text1"/>
                <w:sz w:val="18"/>
                <w:lang w:val="sv-SE" w:eastAsia="ko-KR"/>
                <w14:textFill>
                  <w14:solidFill>
                    <w14:schemeClr w14:val="tx1"/>
                  </w14:solidFill>
                </w14:textFill>
              </w:rPr>
              <w:t xml:space="preserve">Sensing </w:t>
            </w:r>
            <w:r>
              <w:rPr>
                <w:rFonts w:ascii="Arial" w:hAnsi="Arial"/>
                <w:sz w:val="18"/>
                <w:lang w:val="sv-SE" w:eastAsia="ko-KR"/>
              </w:rPr>
              <w:t>within a 25us interval</w:t>
            </w:r>
            <w:r>
              <w:rPr>
                <w:rFonts w:ascii="Arial" w:hAnsi="Arial"/>
                <w:sz w:val="18"/>
                <w:lang w:eastAsia="zh-CN"/>
              </w:rPr>
              <w:t xml:space="preserve"> as defined in Clause 4.3 in TS 37.213</w:t>
            </w:r>
          </w:p>
        </w:tc>
        <w:tc>
          <w:tcPr>
            <w:tcW w:w="2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c>
          <w:tcPr>
            <w:tcW w:w="25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lang w:eastAsia="zh-CN"/>
              </w:rPr>
            </w:pPr>
            <w:r>
              <w:rPr>
                <w:rFonts w:ascii="Arial" w:hAnsi="Arial"/>
                <w:sz w:val="18"/>
                <w:lang w:eastAsia="zh-CN"/>
              </w:rPr>
              <w:t>3</w:t>
            </w:r>
          </w:p>
        </w:tc>
        <w:tc>
          <w:tcPr>
            <w:tcW w:w="2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 xml:space="preserve">Sensing as defined in Clause </w:t>
            </w:r>
            <w:r>
              <w:rPr>
                <w:rFonts w:ascii="Arial" w:hAnsi="Arial" w:cs="Arial"/>
                <w:sz w:val="18"/>
                <w:lang w:eastAsia="zh-CN"/>
              </w:rPr>
              <w:t xml:space="preserve">4.3.1.2 </w:t>
            </w:r>
            <w:r>
              <w:rPr>
                <w:rFonts w:ascii="Arial" w:hAnsi="Arial"/>
                <w:sz w:val="18"/>
                <w:lang w:val="en-US" w:eastAsia="zh-CN"/>
              </w:rPr>
              <w:t>in TS 37.213</w:t>
            </w:r>
          </w:p>
        </w:tc>
        <w:tc>
          <w:tcPr>
            <w:tcW w:w="2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c>
          <w:tcPr>
            <w:tcW w:w="25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shd w:val="clear" w:color="auto" w:fill="D9D9D9"/>
          </w:tcPr>
          <w:p>
            <w:pPr>
              <w:pStyle w:val="103"/>
              <w:rPr>
                <w:rFonts w:ascii="Times New Roman" w:hAnsi="Times New Roman"/>
                <w:sz w:val="20"/>
                <w:lang w:val="en-US" w:eastAsia="zh-CN"/>
              </w:rPr>
            </w:pPr>
            <w:r>
              <w:rPr>
                <w:lang w:val="en-US" w:eastAsia="zh-CN"/>
              </w:rPr>
              <w:t>Note:</w:t>
            </w:r>
            <w:r>
              <w:rPr>
                <w:lang w:val="en-US" w:eastAsia="zh-CN"/>
              </w:rPr>
              <w:tab/>
            </w:r>
            <w:r>
              <w:rPr>
                <w:lang w:val="en-US" w:eastAsia="zh-CN"/>
              </w:rPr>
              <w:t xml:space="preserve">Row index 3 is only applicable if </w:t>
            </w:r>
            <w:r>
              <w:rPr>
                <w:i/>
                <w:iCs/>
                <w:color w:val="FF0000"/>
              </w:rPr>
              <w:t>semiStaticChannelAccessConfigUE</w:t>
            </w:r>
            <w:r>
              <w:rPr>
                <w:rFonts w:hint="eastAsia" w:eastAsia="宋体"/>
                <w:i/>
                <w:iCs/>
                <w:color w:val="FF0000"/>
                <w:lang w:val="en-US" w:eastAsia="zh-CN"/>
              </w:rPr>
              <w:t xml:space="preserve"> </w:t>
            </w:r>
            <w:r>
              <w:rPr>
                <w:i/>
                <w:strike/>
                <w:dstrike w:val="0"/>
                <w:color w:val="FF0000"/>
                <w:lang w:val="en-US" w:eastAsia="zh-CN"/>
              </w:rPr>
              <w:t>ue-SemiStaticChannelAccessConfig</w:t>
            </w:r>
            <w:r>
              <w:rPr>
                <w:lang w:val="en-US" w:eastAsia="zh-CN"/>
              </w:rPr>
              <w:t xml:space="preserve"> is provided. Otherwise, the row is reserved.</w:t>
            </w:r>
          </w:p>
        </w:tc>
      </w:tr>
    </w:tbl>
    <w:p>
      <w:pPr>
        <w:rPr>
          <w:lang w:val="en-US" w:eastAsia="zh-CN"/>
        </w:rPr>
      </w:pPr>
    </w:p>
    <w:p>
      <w:pPr>
        <w:rPr>
          <w:color w:val="000000"/>
        </w:rPr>
      </w:pPr>
    </w:p>
    <w:bookmarkEnd w:id="9"/>
    <w:p>
      <w:pPr>
        <w:widowControl w:val="0"/>
        <w:spacing w:line="240" w:lineRule="auto"/>
        <w:jc w:val="center"/>
      </w:pPr>
      <w:r>
        <w:rPr>
          <w:b/>
          <w:bCs/>
          <w:color w:val="FF0000"/>
          <w:lang w:eastAsia="zh-CN"/>
        </w:rPr>
        <w:t>&lt; Unchanged text omitted &gt;</w:t>
      </w:r>
    </w:p>
    <w:p>
      <w:pPr>
        <w:pBdr>
          <w:bottom w:val="double" w:color="auto" w:sz="6" w:space="1"/>
        </w:pBd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5D86E4F"/>
    <w:rsid w:val="09257BF9"/>
    <w:rsid w:val="19153E3A"/>
    <w:rsid w:val="1AE9280B"/>
    <w:rsid w:val="2324190B"/>
    <w:rsid w:val="265F2BF8"/>
    <w:rsid w:val="295F1521"/>
    <w:rsid w:val="2BB30C36"/>
    <w:rsid w:val="3137457D"/>
    <w:rsid w:val="313C4912"/>
    <w:rsid w:val="34307F99"/>
    <w:rsid w:val="407F4044"/>
    <w:rsid w:val="409C0154"/>
    <w:rsid w:val="40CC6C5A"/>
    <w:rsid w:val="41153DA1"/>
    <w:rsid w:val="44503A25"/>
    <w:rsid w:val="4AA944AD"/>
    <w:rsid w:val="53F5402B"/>
    <w:rsid w:val="542C179D"/>
    <w:rsid w:val="582B7C66"/>
    <w:rsid w:val="5A1C1C3B"/>
    <w:rsid w:val="5B9F1143"/>
    <w:rsid w:val="5C7E6879"/>
    <w:rsid w:val="5E5D3B1B"/>
    <w:rsid w:val="635E25E1"/>
    <w:rsid w:val="64637351"/>
    <w:rsid w:val="656A70B4"/>
    <w:rsid w:val="66701E52"/>
    <w:rsid w:val="668659F8"/>
    <w:rsid w:val="68D92AA6"/>
    <w:rsid w:val="75E33C37"/>
    <w:rsid w:val="7B1858BA"/>
    <w:rsid w:val="7DDF03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DD2AB-1D50-4EC7-91E4-FF1F2F9DD153}">
  <ds:schemaRefs/>
</ds:datastoreItem>
</file>

<file path=customXml/itemProps2.xml><?xml version="1.0" encoding="utf-8"?>
<ds:datastoreItem xmlns:ds="http://schemas.openxmlformats.org/officeDocument/2006/customXml" ds:itemID="{CC0BBCD9-3D69-43EB-B30C-C852D680FE8D}">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512C8797-BDAD-4B69-9F70-2F44BAF449AF}">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4</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ZTE-Ling Yang</cp:lastModifiedBy>
  <cp:lastPrinted>2411-12-31T08:00:00Z</cp:lastPrinted>
  <dcterms:modified xsi:type="dcterms:W3CDTF">2022-11-07T02:07:12Z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BA47BBE5DB9A40508A1DAA0F60AD7993</vt:lpwstr>
  </property>
</Properties>
</file>